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304984</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5.14.4.5</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[1] around the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b/>
                <w:sz w:val="20"/>
                <w:szCs w:val="20"/>
                <w:u w:val="single"/>
                <w:lang w:eastAsia="ko-KR"/>
              </w:rPr>
              <w:t>Issue 5-1-1: Measurement gap</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keepNext w:val="0"/>
              <w:keepLines w:val="0"/>
              <w:pageBreakBefore w:val="0"/>
              <w:numPr>
                <w:ilvl w:val="0"/>
                <w:numId w:val="4"/>
              </w:numPr>
              <w:kinsoku/>
              <w:wordWrap/>
              <w:overflowPunct/>
              <w:topLinePunct w:val="0"/>
              <w:autoSpaceDE/>
              <w:autoSpaceDN/>
              <w:bidi w:val="0"/>
              <w:adjustRightInd/>
              <w:snapToGrid/>
              <w:ind w:hanging="357" w:firstLineChars="0"/>
              <w:textAlignment w:val="auto"/>
              <w:rPr>
                <w:rFonts w:eastAsia="宋体"/>
                <w:sz w:val="20"/>
                <w:szCs w:val="20"/>
              </w:rPr>
            </w:pPr>
            <w:r>
              <w:rPr>
                <w:rFonts w:eastAsia="宋体"/>
                <w:sz w:val="20"/>
                <w:szCs w:val="20"/>
              </w:rPr>
              <w:t xml:space="preserve">Reuse the legacy </w:t>
            </w:r>
            <w:r>
              <w:rPr>
                <w:rFonts w:hint="eastAsia" w:eastAsia="宋体"/>
                <w:sz w:val="20"/>
                <w:szCs w:val="20"/>
              </w:rPr>
              <w:t xml:space="preserve">FR1 </w:t>
            </w:r>
            <w:r>
              <w:rPr>
                <w:rFonts w:eastAsia="宋体"/>
                <w:sz w:val="20"/>
                <w:szCs w:val="20"/>
              </w:rPr>
              <w:t xml:space="preserve">MG requirements </w:t>
            </w:r>
            <w:r>
              <w:rPr>
                <w:rFonts w:hint="eastAsia" w:eastAsia="宋体"/>
                <w:sz w:val="20"/>
                <w:szCs w:val="20"/>
              </w:rPr>
              <w:t xml:space="preserve">(per UE gap and per FR1 gap) </w:t>
            </w:r>
            <w:r>
              <w:rPr>
                <w:rFonts w:eastAsia="宋体"/>
                <w:sz w:val="20"/>
                <w:szCs w:val="20"/>
              </w:rPr>
              <w:t>for R18 ATG.</w:t>
            </w:r>
            <w:r>
              <w:rPr>
                <w:rFonts w:hint="eastAsia" w:eastAsia="宋体"/>
                <w:sz w:val="20"/>
                <w:szCs w:val="20"/>
              </w:rPr>
              <w:t xml:space="preserve">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rFonts w:eastAsia="宋体"/>
                <w:sz w:val="20"/>
                <w:szCs w:val="20"/>
              </w:rPr>
            </w:pPr>
            <w:r>
              <w:rPr>
                <w:rFonts w:hint="eastAsia" w:eastAsia="宋体"/>
                <w:sz w:val="20"/>
                <w:szCs w:val="20"/>
              </w:rPr>
              <w:t>Rel-16 MGs are considered as baseline. Whether other MG features are considered depends on further discussion.</w:t>
            </w:r>
          </w:p>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b/>
                <w:sz w:val="20"/>
                <w:szCs w:val="20"/>
                <w:u w:val="single"/>
                <w:lang w:eastAsia="ko-KR"/>
              </w:rPr>
              <w:t>Issue 5-1-2: CSSF</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28"/>
              <w:keepNext w:val="0"/>
              <w:keepLines w:val="0"/>
              <w:pageBreakBefore w:val="0"/>
              <w:numPr>
                <w:ilvl w:val="0"/>
                <w:numId w:val="4"/>
              </w:numPr>
              <w:kinsoku/>
              <w:wordWrap/>
              <w:overflowPunct/>
              <w:topLinePunct w:val="0"/>
              <w:autoSpaceDE/>
              <w:autoSpaceDN/>
              <w:bidi w:val="0"/>
              <w:adjustRightInd/>
              <w:snapToGrid/>
              <w:ind w:hanging="357" w:firstLineChars="0"/>
              <w:textAlignment w:val="auto"/>
              <w:rPr>
                <w:rFonts w:eastAsia="宋体"/>
                <w:sz w:val="20"/>
                <w:szCs w:val="20"/>
              </w:rPr>
            </w:pPr>
            <w:r>
              <w:rPr>
                <w:rFonts w:eastAsia="宋体"/>
                <w:sz w:val="20"/>
                <w:szCs w:val="20"/>
              </w:rPr>
              <w:t xml:space="preserve">Consider inter-frequency measurement without GAP in R18 ATG. </w:t>
            </w:r>
          </w:p>
          <w:p>
            <w:pPr>
              <w:pStyle w:val="28"/>
              <w:keepNext w:val="0"/>
              <w:keepLines w:val="0"/>
              <w:pageBreakBefore w:val="0"/>
              <w:numPr>
                <w:ilvl w:val="0"/>
                <w:numId w:val="4"/>
              </w:numPr>
              <w:kinsoku/>
              <w:wordWrap/>
              <w:overflowPunct/>
              <w:topLinePunct w:val="0"/>
              <w:autoSpaceDE/>
              <w:autoSpaceDN/>
              <w:bidi w:val="0"/>
              <w:adjustRightInd/>
              <w:snapToGrid/>
              <w:ind w:hanging="357" w:firstLineChars="0"/>
              <w:textAlignment w:val="auto"/>
              <w:rPr>
                <w:rFonts w:eastAsia="宋体"/>
                <w:sz w:val="20"/>
                <w:szCs w:val="20"/>
              </w:rPr>
            </w:pPr>
            <w:r>
              <w:rPr>
                <w:rFonts w:eastAsia="宋体"/>
                <w:sz w:val="20"/>
                <w:szCs w:val="20"/>
              </w:rPr>
              <w:t>For CSSF value</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For the case of UE monitoring of multiple layers outside gaps:</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For intra-frequency and inter-frequency measurement</w:t>
            </w:r>
          </w:p>
          <w:p>
            <w:pPr>
              <w:pStyle w:val="28"/>
              <w:keepNext w:val="0"/>
              <w:keepLines w:val="0"/>
              <w:pageBreakBefore w:val="0"/>
              <w:numPr>
                <w:ilvl w:val="3"/>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 xml:space="preserve">Current requirements for CSSF in clause 9.1.5.1.2 are re-used for ATG.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For the case of UE monitoring of multiple layers within gaps:</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Legacy definitions can be reused for ATG</w:t>
            </w:r>
          </w:p>
          <w:p>
            <w:pPr>
              <w:keepNext w:val="0"/>
              <w:keepLines w:val="0"/>
              <w:pageBreakBefore w:val="0"/>
              <w:kinsoku/>
              <w:wordWrap/>
              <w:overflowPunct/>
              <w:topLinePunct w:val="0"/>
              <w:autoSpaceDE/>
              <w:autoSpaceDN/>
              <w:bidi w:val="0"/>
              <w:adjustRightInd/>
              <w:snapToGrid/>
              <w:textAlignment w:val="auto"/>
              <w:rPr>
                <w:rFonts w:eastAsia="Malgun Gothic"/>
                <w:b/>
                <w:sz w:val="20"/>
                <w:szCs w:val="20"/>
                <w:u w:val="single"/>
                <w:lang w:eastAsia="ko-KR"/>
              </w:rPr>
            </w:pPr>
            <w:r>
              <w:rPr>
                <w:rFonts w:eastAsia="Malgun Gothic"/>
                <w:b/>
                <w:sz w:val="20"/>
                <w:szCs w:val="20"/>
                <w:u w:val="single"/>
                <w:lang w:eastAsia="ko-KR"/>
              </w:rPr>
              <w:t>Issue 5-1-4: Intra-frequency measurements requirement</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Agreement</w:t>
            </w:r>
            <w:r>
              <w:rPr>
                <w:rFonts w:eastAsiaTheme="minorEastAsia"/>
                <w:iCs/>
                <w:sz w:val="20"/>
                <w:szCs w:val="20"/>
              </w:rPr>
              <w:t>:</w:t>
            </w:r>
          </w:p>
          <w:p>
            <w:pPr>
              <w:pStyle w:val="28"/>
              <w:keepNext w:val="0"/>
              <w:keepLines w:val="0"/>
              <w:pageBreakBefore w:val="0"/>
              <w:numPr>
                <w:ilvl w:val="0"/>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Reuse the legacy NR intra-frequency measurements requirement with following updates:</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The assumption that deriveSSB-IndexFromCell is always enabled for FR1 TDD and FR2 is not valid in ATG scenario.</w:t>
            </w:r>
          </w:p>
          <w:p>
            <w:pPr>
              <w:keepNext w:val="0"/>
              <w:keepLines w:val="0"/>
              <w:pageBreakBefore w:val="0"/>
              <w:kinsoku/>
              <w:wordWrap/>
              <w:overflowPunct/>
              <w:topLinePunct w:val="0"/>
              <w:autoSpaceDE/>
              <w:autoSpaceDN/>
              <w:bidi w:val="0"/>
              <w:adjustRightInd/>
              <w:snapToGrid/>
              <w:textAlignment w:val="auto"/>
              <w:rPr>
                <w:rFonts w:eastAsia="Malgun Gothic"/>
                <w:b/>
                <w:sz w:val="20"/>
                <w:szCs w:val="20"/>
                <w:u w:val="single"/>
                <w:lang w:eastAsia="ko-KR"/>
              </w:rPr>
            </w:pPr>
            <w:r>
              <w:rPr>
                <w:rFonts w:eastAsia="Malgun Gothic"/>
                <w:b/>
                <w:sz w:val="20"/>
                <w:szCs w:val="20"/>
                <w:u w:val="single"/>
                <w:lang w:eastAsia="ko-KR"/>
              </w:rPr>
              <w:t>Issue 5-1-5: Inter-frequency measurements requirement</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eastAsiaTheme="minorEastAsia"/>
                <w:iCs/>
                <w:sz w:val="20"/>
                <w:szCs w:val="20"/>
                <w:highlight w:val="green"/>
              </w:rPr>
              <w:t>Agreement</w:t>
            </w:r>
            <w:r>
              <w:rPr>
                <w:rFonts w:eastAsiaTheme="minorEastAsia"/>
                <w:iCs/>
                <w:sz w:val="20"/>
                <w:szCs w:val="20"/>
              </w:rPr>
              <w:t>:</w:t>
            </w:r>
          </w:p>
          <w:p>
            <w:pPr>
              <w:pStyle w:val="28"/>
              <w:keepNext w:val="0"/>
              <w:keepLines w:val="0"/>
              <w:pageBreakBefore w:val="0"/>
              <w:numPr>
                <w:ilvl w:val="0"/>
                <w:numId w:val="4"/>
              </w:numPr>
              <w:kinsoku/>
              <w:wordWrap/>
              <w:overflowPunct/>
              <w:topLinePunct w:val="0"/>
              <w:autoSpaceDE/>
              <w:autoSpaceDN/>
              <w:bidi w:val="0"/>
              <w:adjustRightInd/>
              <w:snapToGrid/>
              <w:ind w:firstLineChars="0"/>
              <w:textAlignment w:val="auto"/>
              <w:rPr>
                <w:rFonts w:eastAsia="宋体"/>
                <w:sz w:val="20"/>
                <w:szCs w:val="20"/>
              </w:rPr>
            </w:pPr>
            <w:r>
              <w:rPr>
                <w:rFonts w:eastAsia="宋体"/>
                <w:sz w:val="20"/>
                <w:szCs w:val="20"/>
              </w:rPr>
              <w:t>Reuse the legacy NR inter-frequency measurements requirement as the starting point.</w:t>
            </w:r>
          </w:p>
          <w:p>
            <w:pPr>
              <w:keepNext w:val="0"/>
              <w:keepLines w:val="0"/>
              <w:pageBreakBefore w:val="0"/>
              <w:kinsoku/>
              <w:wordWrap/>
              <w:overflowPunct/>
              <w:topLinePunct w:val="0"/>
              <w:autoSpaceDE/>
              <w:autoSpaceDN/>
              <w:bidi w:val="0"/>
              <w:adjustRightInd/>
              <w:snapToGrid/>
              <w:textAlignment w:val="auto"/>
              <w:rPr>
                <w:rFonts w:eastAsia="Malgun Gothic"/>
                <w:b/>
                <w:sz w:val="20"/>
                <w:szCs w:val="20"/>
                <w:u w:val="single"/>
                <w:lang w:eastAsia="ko-KR"/>
              </w:rPr>
            </w:pPr>
            <w:r>
              <w:rPr>
                <w:rFonts w:eastAsia="Malgun Gothic"/>
                <w:b/>
                <w:sz w:val="20"/>
                <w:szCs w:val="20"/>
                <w:u w:val="single"/>
                <w:lang w:eastAsia="ko-KR"/>
              </w:rPr>
              <w:t>Issue 5-1-7: CSI-RS based L3 measurements</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eastAsiaTheme="minorEastAsia"/>
                <w:iCs/>
                <w:sz w:val="20"/>
                <w:szCs w:val="20"/>
                <w:highlight w:val="green"/>
              </w:rPr>
              <w:t>Agreement</w:t>
            </w:r>
            <w:r>
              <w:rPr>
                <w:rFonts w:eastAsiaTheme="minorEastAsia"/>
                <w:iCs/>
                <w:sz w:val="20"/>
                <w:szCs w:val="20"/>
              </w:rPr>
              <w:t xml:space="preserve">: </w:t>
            </w:r>
          </w:p>
          <w:p>
            <w:pPr>
              <w:pStyle w:val="28"/>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eastAsia="宋体"/>
                <w:color w:val="auto"/>
                <w:sz w:val="20"/>
                <w:szCs w:val="20"/>
                <w:vertAlign w:val="baseline"/>
                <w:lang w:val="en-US" w:eastAsia="zh-CN"/>
              </w:rPr>
            </w:pPr>
            <w:r>
              <w:rPr>
                <w:rFonts w:eastAsia="宋体"/>
                <w:sz w:val="20"/>
                <w:szCs w:val="20"/>
              </w:rPr>
              <w:t>If no new requirements (both core and performance requirements) are identified for CSI-RS based L3 measurements, CSI-RS is supported based on existing UE capability.</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Except for the above conclusions, still multiple issues are suspending. In this document, we will provide some further analysis on the suspending issues around the measurement requirements of ATG. We discuss the following issues in this contribution.</w:t>
      </w:r>
    </w:p>
    <w:p>
      <w:pPr>
        <w:pStyle w:val="4"/>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Measurement mechanism</w:t>
      </w:r>
    </w:p>
    <w:p>
      <w:pPr>
        <w:pStyle w:val="4"/>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Inter-frequency measurement requirements</w:t>
      </w:r>
    </w:p>
    <w:p>
      <w:pPr>
        <w:pStyle w:val="4"/>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Scheduling restriction</w:t>
      </w:r>
    </w:p>
    <w:p>
      <w:pPr>
        <w:pStyle w:val="4"/>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Pre-configured MG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Measurement mechanism</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Regarding to measurement mechanism,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57" w:firstLineChars="0"/>
              <w:textAlignment w:val="auto"/>
              <w:rPr>
                <w:rFonts w:eastAsia="宋体"/>
                <w:sz w:val="20"/>
                <w:szCs w:val="20"/>
              </w:rPr>
            </w:pPr>
            <w:r>
              <w:rPr>
                <w:rFonts w:eastAsia="宋体"/>
                <w:sz w:val="20"/>
                <w:szCs w:val="20"/>
              </w:rPr>
              <w:t>Option 1:</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firstLineChars="0"/>
              <w:textAlignment w:val="auto"/>
              <w:rPr>
                <w:rFonts w:eastAsia="宋体"/>
                <w:sz w:val="20"/>
                <w:szCs w:val="20"/>
              </w:rPr>
            </w:pPr>
            <w:r>
              <w:rPr>
                <w:rFonts w:eastAsia="宋体"/>
                <w:sz w:val="20"/>
                <w:szCs w:val="20"/>
              </w:rPr>
              <w:t>For ATG UE in ILDE/Inactive mode</w:t>
            </w:r>
          </w:p>
          <w:p>
            <w:pPr>
              <w:pStyle w:val="28"/>
              <w:keepNext w:val="0"/>
              <w:keepLines w:val="0"/>
              <w:pageBreakBefore w:val="0"/>
              <w:widowControl w:val="0"/>
              <w:numPr>
                <w:ilvl w:val="2"/>
                <w:numId w:val="4"/>
              </w:numPr>
              <w:kinsoku/>
              <w:wordWrap/>
              <w:overflowPunct/>
              <w:topLinePunct w:val="0"/>
              <w:autoSpaceDE/>
              <w:autoSpaceDN/>
              <w:bidi w:val="0"/>
              <w:adjustRightInd/>
              <w:snapToGrid/>
              <w:spacing w:after="0" w:line="240" w:lineRule="auto"/>
              <w:ind w:firstLineChars="0"/>
              <w:textAlignment w:val="auto"/>
              <w:rPr>
                <w:rFonts w:eastAsia="宋体"/>
                <w:sz w:val="20"/>
                <w:szCs w:val="20"/>
              </w:rPr>
            </w:pPr>
            <w:r>
              <w:rPr>
                <w:rFonts w:eastAsia="宋体"/>
                <w:sz w:val="20"/>
                <w:szCs w:val="20"/>
              </w:rPr>
              <w:t>If ATG UE altitude higher than certain threshold, ATG UE perform measurement</w:t>
            </w:r>
          </w:p>
          <w:p>
            <w:pPr>
              <w:pStyle w:val="28"/>
              <w:keepNext w:val="0"/>
              <w:keepLines w:val="0"/>
              <w:pageBreakBefore w:val="0"/>
              <w:widowControl w:val="0"/>
              <w:numPr>
                <w:ilvl w:val="2"/>
                <w:numId w:val="4"/>
              </w:numPr>
              <w:kinsoku/>
              <w:wordWrap/>
              <w:overflowPunct/>
              <w:topLinePunct w:val="0"/>
              <w:autoSpaceDE/>
              <w:autoSpaceDN/>
              <w:bidi w:val="0"/>
              <w:adjustRightInd/>
              <w:snapToGrid/>
              <w:spacing w:after="0" w:line="240" w:lineRule="auto"/>
              <w:ind w:firstLineChars="0"/>
              <w:textAlignment w:val="auto"/>
              <w:rPr>
                <w:rFonts w:eastAsia="宋体"/>
                <w:sz w:val="20"/>
                <w:szCs w:val="20"/>
              </w:rPr>
            </w:pPr>
            <w:r>
              <w:rPr>
                <w:rFonts w:eastAsia="宋体"/>
                <w:sz w:val="20"/>
                <w:szCs w:val="20"/>
              </w:rPr>
              <w:t>If ATG UE altitude lower than certain threshold, ATG UE may not perform measurement</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firstLineChars="0"/>
              <w:textAlignment w:val="auto"/>
              <w:rPr>
                <w:rFonts w:eastAsia="宋体"/>
                <w:sz w:val="20"/>
                <w:szCs w:val="20"/>
              </w:rPr>
            </w:pPr>
            <w:r>
              <w:rPr>
                <w:rFonts w:eastAsia="宋体"/>
                <w:sz w:val="20"/>
                <w:szCs w:val="20"/>
              </w:rPr>
              <w:t>For ATG UE in connected mode</w:t>
            </w:r>
          </w:p>
          <w:p>
            <w:pPr>
              <w:pStyle w:val="28"/>
              <w:keepNext w:val="0"/>
              <w:keepLines w:val="0"/>
              <w:pageBreakBefore w:val="0"/>
              <w:widowControl w:val="0"/>
              <w:numPr>
                <w:ilvl w:val="2"/>
                <w:numId w:val="4"/>
              </w:numPr>
              <w:kinsoku/>
              <w:wordWrap/>
              <w:overflowPunct/>
              <w:topLinePunct w:val="0"/>
              <w:autoSpaceDE/>
              <w:autoSpaceDN/>
              <w:bidi w:val="0"/>
              <w:adjustRightInd/>
              <w:snapToGrid/>
              <w:spacing w:after="0" w:line="240" w:lineRule="auto"/>
              <w:ind w:firstLineChars="0"/>
              <w:textAlignment w:val="auto"/>
              <w:rPr>
                <w:rFonts w:eastAsia="宋体"/>
                <w:sz w:val="20"/>
                <w:szCs w:val="20"/>
              </w:rPr>
            </w:pPr>
            <w:r>
              <w:rPr>
                <w:rFonts w:eastAsia="宋体"/>
                <w:sz w:val="20"/>
                <w:szCs w:val="20"/>
              </w:rPr>
              <w:t>If ATG UE altitude higher than certain threshold, ATG UE perform measurement and measurement report</w:t>
            </w:r>
          </w:p>
          <w:p>
            <w:pPr>
              <w:pStyle w:val="28"/>
              <w:keepNext w:val="0"/>
              <w:keepLines w:val="0"/>
              <w:pageBreakBefore w:val="0"/>
              <w:widowControl w:val="0"/>
              <w:numPr>
                <w:ilvl w:val="2"/>
                <w:numId w:val="4"/>
              </w:numPr>
              <w:kinsoku/>
              <w:wordWrap/>
              <w:overflowPunct/>
              <w:topLinePunct w:val="0"/>
              <w:autoSpaceDE/>
              <w:autoSpaceDN/>
              <w:bidi w:val="0"/>
              <w:adjustRightInd/>
              <w:snapToGrid/>
              <w:spacing w:after="0" w:line="240" w:lineRule="auto"/>
              <w:ind w:firstLineChars="0"/>
              <w:textAlignment w:val="auto"/>
              <w:rPr>
                <w:rFonts w:eastAsia="宋体"/>
                <w:sz w:val="20"/>
                <w:szCs w:val="20"/>
              </w:rPr>
            </w:pPr>
            <w:r>
              <w:rPr>
                <w:rFonts w:eastAsia="宋体"/>
                <w:sz w:val="20"/>
                <w:szCs w:val="20"/>
              </w:rPr>
              <w:t>If ATG UE altitude lower than certain threshold, ATG UE may not perform measurement and/or does not perform measurement report</w:t>
            </w:r>
          </w:p>
          <w:p>
            <w:pPr>
              <w:pStyle w:val="28"/>
              <w:numPr>
                <w:ilvl w:val="0"/>
                <w:numId w:val="4"/>
              </w:numPr>
              <w:spacing w:after="120"/>
              <w:ind w:hanging="357" w:firstLineChars="0"/>
              <w:rPr>
                <w:rFonts w:hint="default" w:eastAsia="宋体"/>
                <w:color w:val="auto"/>
                <w:sz w:val="20"/>
                <w:szCs w:val="20"/>
                <w:vertAlign w:val="baseline"/>
                <w:lang w:val="en-US" w:eastAsia="zh-CN"/>
              </w:rPr>
            </w:pPr>
            <w:r>
              <w:rPr>
                <w:rFonts w:hint="eastAsia" w:eastAsia="宋体"/>
                <w:sz w:val="20"/>
                <w:szCs w:val="20"/>
              </w:rPr>
              <w:t>O</w:t>
            </w:r>
            <w:r>
              <w:rPr>
                <w:rFonts w:eastAsia="宋体"/>
                <w:sz w:val="20"/>
                <w:szCs w:val="20"/>
              </w:rPr>
              <w:t>ther Options are not precluded</w:t>
            </w:r>
          </w:p>
        </w:tc>
      </w:tr>
    </w:tbl>
    <w:p>
      <w:pPr>
        <w:pStyle w:val="4"/>
        <w:jc w:val="both"/>
        <w:rPr>
          <w:rFonts w:hint="default" w:eastAsia="宋体"/>
          <w:color w:val="auto"/>
          <w:sz w:val="20"/>
          <w:szCs w:val="20"/>
          <w:lang w:val="en-US" w:eastAsia="zh-CN"/>
        </w:rPr>
      </w:pPr>
      <w:r>
        <w:rPr>
          <w:rFonts w:hint="eastAsia" w:eastAsia="宋体"/>
          <w:color w:val="auto"/>
          <w:sz w:val="20"/>
          <w:szCs w:val="20"/>
          <w:lang w:val="en-US" w:eastAsia="zh-CN"/>
        </w:rPr>
        <w:t>To our understanding, the motivation of Option 1 is to avoid some RRM measurements in both IDLE/INACTIVE and CONNECTED modes when the aircraft stays in the airport. Under such case, no mobility measurement is necessary. We agree with such view, but regarding to the measurement mechanism, no need to introduce any additional clarification since it is already approved in the co-existence discussion that the aircraft altitude to derive cell coverage is 3km. So all requirements are applicable for the ATG CPE which is not lower than 3km. Based on such assumption, no need to consider any additional measurement mechanism such as Option 1 above.</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It is already approved in the co-existence discussion that the aircraft altitude to derive cell coverage is 3km. So all requirements are applicable for the ATG CPE which is not lower than 3km. No need to consider any additional measurement mechanism such as Option 1 above.</w:t>
      </w:r>
    </w:p>
    <w:p>
      <w:pPr>
        <w:pStyle w:val="4"/>
        <w:jc w:val="both"/>
        <w:rPr>
          <w:rFonts w:hint="default" w:eastAsia="宋体"/>
          <w:color w:val="auto"/>
          <w:sz w:val="20"/>
          <w:szCs w:val="20"/>
          <w:lang w:val="en-US" w:eastAsia="zh-CN"/>
        </w:rPr>
      </w:pP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Inter-frequency measurement requirements</w:t>
      </w:r>
    </w:p>
    <w:p>
      <w:pPr>
        <w:pStyle w:val="4"/>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It has been approved in last meeting that the inter-frequency measurement without gap should be considered in ATG. Regarding to the requirements, the legacy NR inter-frequency measurement requirements is seemed as a starting point.</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inter-frequency measurement,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overflowPunct/>
              <w:autoSpaceDE/>
              <w:autoSpaceDN/>
              <w:adjustRightInd/>
              <w:spacing w:after="120"/>
              <w:ind w:left="516" w:leftChars="0" w:hanging="360" w:firstLineChars="0"/>
              <w:textAlignment w:val="auto"/>
              <w:rPr>
                <w:rFonts w:eastAsia="宋体"/>
              </w:rPr>
            </w:pPr>
            <w:r>
              <w:rPr>
                <w:rFonts w:eastAsia="宋体"/>
              </w:rPr>
              <w:t xml:space="preserve">Option 1: The legacy NR inter-frequency measurements requirement can be reused for R18 ATG. </w:t>
            </w:r>
          </w:p>
          <w:p>
            <w:pPr>
              <w:pStyle w:val="28"/>
              <w:numPr>
                <w:ilvl w:val="0"/>
                <w:numId w:val="4"/>
              </w:numPr>
              <w:overflowPunct/>
              <w:autoSpaceDE/>
              <w:autoSpaceDN/>
              <w:adjustRightInd/>
              <w:spacing w:after="120"/>
              <w:ind w:left="516" w:leftChars="0" w:hanging="360" w:firstLineChars="0"/>
              <w:textAlignment w:val="auto"/>
              <w:rPr>
                <w:rFonts w:eastAsia="宋体"/>
              </w:rPr>
            </w:pPr>
            <w:r>
              <w:rPr>
                <w:rFonts w:eastAsia="宋体"/>
              </w:rPr>
              <w:t>Option 2: RAN4 to study the trade-off between Inter-frequency measurement with gap and the data throughput due to large cell coverage.</w:t>
            </w:r>
          </w:p>
          <w:p>
            <w:pPr>
              <w:pStyle w:val="28"/>
              <w:numPr>
                <w:ilvl w:val="0"/>
                <w:numId w:val="4"/>
              </w:numPr>
              <w:overflowPunct/>
              <w:autoSpaceDE/>
              <w:autoSpaceDN/>
              <w:adjustRightInd/>
              <w:spacing w:after="120"/>
              <w:ind w:left="516" w:leftChars="0" w:hanging="360" w:firstLineChars="0"/>
              <w:textAlignment w:val="auto"/>
              <w:rPr>
                <w:rFonts w:eastAsia="宋体"/>
              </w:rPr>
            </w:pPr>
            <w:r>
              <w:rPr>
                <w:rFonts w:hint="eastAsia" w:eastAsia="宋体"/>
                <w:lang w:eastAsia="zh-CN"/>
              </w:rPr>
              <w:t>O</w:t>
            </w:r>
            <w:r>
              <w:rPr>
                <w:rFonts w:eastAsia="宋体"/>
                <w:lang w:eastAsia="zh-CN"/>
              </w:rPr>
              <w:t>ption</w:t>
            </w:r>
            <w:r>
              <w:rPr>
                <w:rFonts w:eastAsia="宋体"/>
              </w:rPr>
              <w:t xml:space="preserve"> 3: B</w:t>
            </w:r>
            <w:r>
              <w:rPr>
                <w:rFonts w:hint="eastAsia" w:eastAsia="宋体"/>
              </w:rPr>
              <w:t>oth inter-frequency measurement with gap and without gap should be considered</w:t>
            </w:r>
            <w:r>
              <w:rPr>
                <w:rFonts w:eastAsia="宋体"/>
              </w:rPr>
              <w:t xml:space="preserve"> </w:t>
            </w:r>
          </w:p>
          <w:p>
            <w:pPr>
              <w:pStyle w:val="28"/>
              <w:numPr>
                <w:ilvl w:val="1"/>
                <w:numId w:val="4"/>
              </w:numPr>
              <w:overflowPunct/>
              <w:autoSpaceDE/>
              <w:autoSpaceDN/>
              <w:adjustRightInd/>
              <w:spacing w:after="120"/>
              <w:ind w:left="1236" w:leftChars="0" w:hanging="360" w:firstLineChars="0"/>
              <w:textAlignment w:val="auto"/>
              <w:rPr>
                <w:rFonts w:hint="eastAsia" w:eastAsia="宋体"/>
                <w:color w:val="auto"/>
                <w:sz w:val="20"/>
                <w:szCs w:val="20"/>
                <w:highlight w:val="none"/>
                <w:vertAlign w:val="baseline"/>
                <w:lang w:val="en-US" w:eastAsia="zh-CN"/>
              </w:rPr>
            </w:pPr>
            <w:r>
              <w:rPr>
                <w:rFonts w:eastAsia="宋体"/>
                <w:lang w:eastAsia="zh-CN"/>
              </w:rPr>
              <w:t xml:space="preserve">For the trade-off between Inter-frequency measurement with gap and the data throughput due to large cell coverage, we think that it will be an issue of operators should consider when networking, and it is not necessary to consider it when defining a measurement requirement. </w:t>
            </w:r>
          </w:p>
        </w:tc>
      </w:tr>
    </w:tbl>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From the perspective of gap, we can not see any excuse to exclude each one between inter-frequency measurement with gap and without gap. For the perspective of the determination of CSSF, for both cases outside gap and within gap, it has been approved that the legacy CSSF definitions can be reused for ATG. So no matter whether the inter-frequency measurement with gap is allowed or not, not additional workload would be imposed. Regarding to the trade-off between the inter-frequency measurement with gap and the data throughput, we agree with option 3, it will be an issue of operators should consider when networking, and it is not necessary to consider it when defining a measurement requirement. So with respect to the measurement requirement, no need to exclude the possibility of inter-frequency measurement with gap. Furthermore, the legacy requirements can be reused.</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1: It has been approved that the legacy CSSF definitions can be reused for ATG. So no matter whether the inter-frequency measurement with gap is allowed or not, not additional workload would be imposed.</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trade-off between the inter-frequency measurement with gap and the data throughput, it is an issue of operators should consider when networking, not necessary to consider it when defining a measurement requirement. No need to exclude the possibility of inter-frequency measurement with gap. Furthermore, the legacy requirements can be reused.</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Scheduling restriction</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following options were kept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63" w:firstLineChars="0"/>
              <w:textAlignment w:val="auto"/>
              <w:rPr>
                <w:rFonts w:eastAsia="宋体"/>
                <w:sz w:val="20"/>
                <w:szCs w:val="20"/>
              </w:rPr>
            </w:pPr>
            <w:r>
              <w:rPr>
                <w:rFonts w:eastAsia="宋体"/>
                <w:sz w:val="20"/>
                <w:szCs w:val="20"/>
              </w:rPr>
              <w:t xml:space="preserve">Option 1: The legacy scheduling restriction requirement can be reused for ATG. </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hanging="363" w:firstLineChars="0"/>
              <w:textAlignment w:val="auto"/>
              <w:rPr>
                <w:rFonts w:eastAsia="宋体"/>
                <w:sz w:val="20"/>
                <w:szCs w:val="20"/>
              </w:rPr>
            </w:pPr>
            <w:r>
              <w:rPr>
                <w:rFonts w:eastAsia="宋体"/>
                <w:sz w:val="20"/>
                <w:szCs w:val="20"/>
              </w:rPr>
              <w:t>Current scheduling restriction is depending on deriveSSB-IndexFromCell. However, there is no need to extend the scheduling restriction since it was agreed that legacy TN requirement can be reused for deriveSSB-IndexFromCell. This means it is up to NW to enable to disable deriveSSB-IndexFromCell, but in either case the scheduling restriction would be same as today.</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hanging="363" w:firstLineChars="0"/>
              <w:textAlignment w:val="auto"/>
              <w:rPr>
                <w:rFonts w:eastAsia="宋体"/>
                <w:sz w:val="20"/>
                <w:szCs w:val="20"/>
              </w:rPr>
            </w:pPr>
            <w:r>
              <w:rPr>
                <w:rFonts w:eastAsia="宋体"/>
                <w:sz w:val="20"/>
                <w:szCs w:val="20"/>
              </w:rPr>
              <w:t>When it is enabled, the restriction is on SSB symbols and 1 data symbol before and after.</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hanging="363" w:firstLineChars="0"/>
              <w:textAlignment w:val="auto"/>
              <w:rPr>
                <w:rFonts w:eastAsia="宋体"/>
                <w:sz w:val="20"/>
                <w:szCs w:val="20"/>
              </w:rPr>
            </w:pPr>
            <w:r>
              <w:rPr>
                <w:rFonts w:eastAsia="宋体"/>
                <w:sz w:val="20"/>
                <w:szCs w:val="20"/>
              </w:rPr>
              <w:t>When it is disabled, the restriction is on all symbols in SMTC.</w:t>
            </w:r>
          </w:p>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63" w:firstLineChars="0"/>
              <w:textAlignment w:val="auto"/>
              <w:rPr>
                <w:rFonts w:eastAsia="宋体"/>
                <w:sz w:val="20"/>
                <w:szCs w:val="20"/>
              </w:rPr>
            </w:pPr>
            <w:r>
              <w:rPr>
                <w:rFonts w:eastAsia="宋体"/>
                <w:sz w:val="20"/>
                <w:szCs w:val="20"/>
              </w:rPr>
              <w:t>Option 2: RAN4 to study the impact of larger propagation delay for scheduling restriction</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40" w:lineRule="auto"/>
              <w:ind w:hanging="363" w:firstLineChars="0"/>
              <w:textAlignment w:val="auto"/>
              <w:rPr>
                <w:rFonts w:eastAsia="宋体"/>
                <w:sz w:val="20"/>
                <w:szCs w:val="20"/>
              </w:rPr>
            </w:pPr>
            <w:r>
              <w:rPr>
                <w:rFonts w:eastAsia="宋体"/>
                <w:sz w:val="20"/>
                <w:szCs w:val="20"/>
              </w:rPr>
              <w:t>Due to large time difference between the neighbour cells, the legacy scheduling restriction for 1 symbol before after SMTCs may not be suitable for ATG system.</w:t>
            </w:r>
          </w:p>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63" w:firstLineChars="0"/>
              <w:textAlignment w:val="auto"/>
              <w:rPr>
                <w:rFonts w:hint="default"/>
                <w:vertAlign w:val="baseline"/>
                <w:lang w:val="en-US" w:eastAsia="zh-CN"/>
              </w:rPr>
            </w:pPr>
            <w:r>
              <w:rPr>
                <w:rFonts w:hint="eastAsia" w:eastAsia="宋体"/>
                <w:sz w:val="20"/>
                <w:szCs w:val="20"/>
              </w:rPr>
              <w:t>O</w:t>
            </w:r>
            <w:r>
              <w:rPr>
                <w:rFonts w:eastAsia="宋体"/>
                <w:sz w:val="20"/>
                <w:szCs w:val="20"/>
              </w:rPr>
              <w:t>ther Options are not precluded.</w:t>
            </w:r>
          </w:p>
        </w:tc>
      </w:tr>
    </w:tbl>
    <w:p>
      <w:pPr>
        <w:pStyle w:val="4"/>
        <w:numPr>
          <w:ilvl w:val="0"/>
          <w:numId w:val="0"/>
        </w:numPr>
        <w:ind w:leftChars="0"/>
        <w:jc w:val="both"/>
        <w:rPr>
          <w:rFonts w:hint="eastAsia" w:eastAsia="宋体"/>
          <w:sz w:val="20"/>
          <w:szCs w:val="20"/>
          <w:lang w:val="en-US" w:eastAsia="zh-CN"/>
        </w:rPr>
      </w:pPr>
      <w:r>
        <w:rPr>
          <w:rFonts w:hint="eastAsia" w:eastAsia="宋体"/>
          <w:color w:val="auto"/>
          <w:sz w:val="20"/>
          <w:szCs w:val="20"/>
          <w:highlight w:val="none"/>
          <w:lang w:val="en-US" w:eastAsia="zh-CN"/>
        </w:rPr>
        <w:t xml:space="preserve">Current scheduling restriction depends on whether the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is enabled or not. If enabled, then accurate scheduling restriction would be applied, only the SSB symbols and 1 symbol before and after would be restricted; Otherwise, the whole SMTC would be restricted.  </w:t>
      </w:r>
    </w:p>
    <w:p>
      <w:pPr>
        <w:pStyle w:val="4"/>
        <w:numPr>
          <w:ilvl w:val="0"/>
          <w:numId w:val="0"/>
        </w:numPr>
        <w:ind w:leftChars="0"/>
        <w:jc w:val="both"/>
        <w:rPr>
          <w:rFonts w:hint="eastAsia" w:eastAsia="宋体"/>
          <w:sz w:val="20"/>
          <w:szCs w:val="20"/>
          <w:lang w:val="en-US" w:eastAsia="zh-CN"/>
        </w:rPr>
      </w:pPr>
      <w:r>
        <w:rPr>
          <w:rFonts w:hint="eastAsia" w:eastAsia="宋体"/>
          <w:sz w:val="20"/>
          <w:szCs w:val="20"/>
          <w:lang w:val="en-US" w:eastAsia="zh-CN"/>
        </w:rPr>
        <w:t xml:space="preserve">Regarding to ATG, whether additional symbol(s) should be restricted besides the 1 symbol before and after SSB under the case of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is enabled, which depends on the propagation delay of DL signal. As analysis in our another document </w:t>
      </w:r>
      <w:r>
        <w:rPr>
          <w:rFonts w:hint="eastAsia" w:eastAsia="宋体"/>
          <w:sz w:val="20"/>
          <w:szCs w:val="20"/>
          <w:highlight w:val="none"/>
          <w:lang w:val="en-US" w:eastAsia="zh-CN"/>
        </w:rPr>
        <w:t>[2]</w:t>
      </w:r>
      <w:r>
        <w:rPr>
          <w:rFonts w:hint="eastAsia" w:eastAsia="宋体"/>
          <w:sz w:val="20"/>
          <w:szCs w:val="20"/>
          <w:lang w:val="en-US" w:eastAsia="zh-CN"/>
        </w:rPr>
        <w:t xml:space="preserve">, the maximum distance between BS and the CPE is up to 250 km, so the propagation delay is about 833 us, which is much larger than the symbol length for FR1. However, whether and when to enable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which depends on the NW decision, the default application for FR1 TDD and FR2 has been removed for ATG. So if the NW believe the propagation delay difference between the serving cell and neighbour cell are large, then the NW would not enable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So whether need to expend the time domain range of scheduling restriction, still needs further discuss. </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Whether and when to enable deriveSSB-IndexFromCell/deriveSSB-IndexFromCell-inter, totally depends on NW. Whether need to expend the time domain range of scheduling restriction for the case of </w:t>
      </w:r>
      <w:r>
        <w:rPr>
          <w:rFonts w:hint="eastAsia" w:eastAsia="宋体" w:cs="Times New Roman"/>
          <w:b/>
          <w:bCs/>
          <w:i/>
          <w:iCs/>
          <w:color w:val="auto"/>
          <w:sz w:val="20"/>
          <w:szCs w:val="20"/>
          <w:highlight w:val="none"/>
          <w:lang w:val="en-US" w:eastAsia="zh-CN" w:bidi="ar-SA"/>
        </w:rPr>
        <w:t>deriveSSB-IndexFromCell/deriveSSB-IndexFromCell-inter</w:t>
      </w:r>
      <w:r>
        <w:rPr>
          <w:rFonts w:hint="eastAsia" w:eastAsia="宋体" w:cs="Times New Roman"/>
          <w:b/>
          <w:bCs/>
          <w:color w:val="auto"/>
          <w:sz w:val="20"/>
          <w:szCs w:val="20"/>
          <w:highlight w:val="none"/>
          <w:lang w:val="en-US" w:eastAsia="zh-CN" w:bidi="ar-SA"/>
        </w:rPr>
        <w:t xml:space="preserve"> enabled, still needs further discuss.</w:t>
      </w:r>
    </w:p>
    <w:p>
      <w:pPr>
        <w:pStyle w:val="4"/>
        <w:numPr>
          <w:ilvl w:val="0"/>
          <w:numId w:val="0"/>
        </w:numPr>
        <w:ind w:leftChars="0"/>
        <w:jc w:val="both"/>
        <w:rPr>
          <w:rFonts w:hint="default" w:eastAsia="宋体" w:cs="Times New Roman"/>
          <w:b/>
          <w:bCs/>
          <w:color w:val="auto"/>
          <w:sz w:val="20"/>
          <w:szCs w:val="20"/>
          <w:highlight w:val="none"/>
          <w:lang w:val="en-US" w:eastAsia="zh-CN" w:bidi="ar-SA"/>
        </w:rPr>
      </w:pP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Pre-configured measurement gap</w:t>
      </w:r>
    </w:p>
    <w:p>
      <w:pPr>
        <w:pStyle w:val="4"/>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During last meeting, companies has deeply online discussion regarding to this issue. Finally it is still kept FFS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4"/>
              </w:numPr>
              <w:spacing w:after="120"/>
              <w:ind w:firstLineChars="0"/>
              <w:rPr>
                <w:rFonts w:hint="default"/>
                <w:vertAlign w:val="baseline"/>
                <w:lang w:val="en-US" w:eastAsia="zh-CN"/>
              </w:rPr>
            </w:pPr>
            <w:r>
              <w:rPr>
                <w:rFonts w:hint="eastAsia" w:eastAsia="宋体"/>
                <w:sz w:val="20"/>
                <w:szCs w:val="20"/>
              </w:rPr>
              <w:t xml:space="preserve">FFS on whether to introduce </w:t>
            </w:r>
            <w:r>
              <w:rPr>
                <w:rFonts w:eastAsia="宋体"/>
                <w:sz w:val="20"/>
                <w:szCs w:val="20"/>
              </w:rPr>
              <w:t>pre-configured measurement gap</w:t>
            </w:r>
            <w:r>
              <w:rPr>
                <w:rFonts w:hint="eastAsia" w:eastAsia="宋体"/>
                <w:sz w:val="20"/>
                <w:szCs w:val="20"/>
              </w:rPr>
              <w:t xml:space="preserve"> in ATG network</w:t>
            </w:r>
            <w:r>
              <w:rPr>
                <w:rFonts w:eastAsia="宋体"/>
                <w:sz w:val="20"/>
                <w:szCs w:val="20"/>
              </w:rPr>
              <w:t xml:space="preserve"> </w:t>
            </w:r>
          </w:p>
        </w:tc>
      </w:tr>
    </w:tbl>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After the online discussion during last meeting, we recognize the motivation of introducing pre-configured MG in ATG make sense. However, so as to realize the dynamic activation/deactivation of pre-configured MG along with the aircraft movement, current trigger events defined for UE autonomous pre-configured MG activation/deactivation in R17 MG enhancement is not enough, additional trigger events need to be discussed. Which would increase the workload. So we believe such optimization can be considered in future release.</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So as to realize the dynamic activation/deactivation of pre-configured MG along with the aircraft movement, new trigger events are needed, which would increase the workload. Prefer to consider such optimization in future release.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measurement requirements for ATG system</w:t>
      </w:r>
      <w:r>
        <w:rPr>
          <w:rFonts w:eastAsia="宋体"/>
          <w:bCs/>
          <w:color w:val="auto"/>
          <w:sz w:val="20"/>
          <w:szCs w:val="20"/>
          <w:lang w:val="en-GB" w:eastAsia="zh-CN"/>
        </w:rPr>
        <w:t>:</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It is already approved in the co-existence discussion that the aircraft altitude to derive cell coverage is 3km. So all requirements are applicable for the ATG CPE which is not lower than 3km. No need to consider any additional measurement mechanism such as Option 1 above.</w:t>
      </w:r>
    </w:p>
    <w:p>
      <w:pPr>
        <w:pStyle w:val="4"/>
        <w:numPr>
          <w:ilvl w:val="0"/>
          <w:numId w:val="0"/>
        </w:numPr>
        <w:ind w:leftChars="0"/>
        <w:jc w:val="both"/>
        <w:rPr>
          <w:rFonts w:hint="default" w:eastAsia="宋体"/>
          <w:color w:val="auto"/>
          <w:sz w:val="20"/>
          <w:szCs w:val="20"/>
          <w:highlight w:val="none"/>
          <w:lang w:val="en-US" w:eastAsia="zh-CN"/>
        </w:rPr>
      </w:pPr>
      <w:bookmarkStart w:id="0" w:name="_GoBack"/>
      <w:bookmarkEnd w:id="0"/>
      <w:r>
        <w:rPr>
          <w:rFonts w:hint="eastAsia" w:eastAsia="宋体" w:cs="Times New Roman"/>
          <w:b/>
          <w:bCs/>
          <w:color w:val="auto"/>
          <w:sz w:val="20"/>
          <w:szCs w:val="20"/>
          <w:highlight w:val="none"/>
          <w:lang w:val="en-US" w:eastAsia="zh-CN" w:bidi="ar-SA"/>
        </w:rPr>
        <w:t>Observation 1: It has been approved that the legacy CSSF definitions can be reused for ATG. So no matter whether the inter-frequency measurement with gap is allowed or not, not additional workload would be imposed.</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trade-off between the inter-frequency measurement with gap and the data throughput, it is an issue of operators should consider when networking, not necessary to consider it when defining a measurement requirement. No need to exclude the possibility of inter-frequency measurement with gap. Furthermore, the legacy requirements can be reused.</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Whether and when to enable deriveSSB-IndexFromCell/deriveSSB-IndexFromCell-inter, totally depends on NW. Whether need to expend the time domain range of scheduling restriction for the case of </w:t>
      </w:r>
      <w:r>
        <w:rPr>
          <w:rFonts w:hint="eastAsia" w:eastAsia="宋体" w:cs="Times New Roman"/>
          <w:b/>
          <w:bCs/>
          <w:i/>
          <w:iCs/>
          <w:color w:val="auto"/>
          <w:sz w:val="20"/>
          <w:szCs w:val="20"/>
          <w:highlight w:val="none"/>
          <w:lang w:val="en-US" w:eastAsia="zh-CN" w:bidi="ar-SA"/>
        </w:rPr>
        <w:t>deriveSSB-IndexFromCell/deriveSSB-IndexFromCell-inter</w:t>
      </w:r>
      <w:r>
        <w:rPr>
          <w:rFonts w:hint="eastAsia" w:eastAsia="宋体" w:cs="Times New Roman"/>
          <w:b/>
          <w:bCs/>
          <w:color w:val="auto"/>
          <w:sz w:val="20"/>
          <w:szCs w:val="20"/>
          <w:highlight w:val="none"/>
          <w:lang w:val="en-US" w:eastAsia="zh-CN" w:bidi="ar-SA"/>
        </w:rPr>
        <w:t xml:space="preserve"> enabled, still needs further discuss.</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So as to realize the dynamic activation/deactivation of pre-configured MG along with the aircraft movement, new trigger events are needed, which would increase the workload. Prefer to consider such optimization in future release.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default" w:eastAsia="宋体"/>
          <w:color w:val="auto"/>
          <w:lang w:val="en-US" w:eastAsia="zh-CN"/>
        </w:rPr>
      </w:pPr>
      <w:r>
        <w:rPr>
          <w:rFonts w:hint="eastAsia"/>
          <w:color w:val="auto"/>
          <w:lang w:val="en-US" w:eastAsia="zh-CN"/>
        </w:rPr>
        <w:t xml:space="preserve">R4-2303226 </w:t>
      </w:r>
      <w:r>
        <w:rPr>
          <w:rFonts w:hint="default"/>
          <w:color w:val="auto"/>
          <w:lang w:val="en-US" w:eastAsia="zh-CN"/>
        </w:rPr>
        <w:t>“WF on NR ATG RRM requirements”</w:t>
      </w:r>
      <w:r>
        <w:rPr>
          <w:rFonts w:hint="eastAsia"/>
          <w:color w:val="auto"/>
          <w:lang w:val="en-US" w:eastAsia="zh-CN"/>
        </w:rPr>
        <w:t>, CMCC</w:t>
      </w:r>
    </w:p>
    <w:p>
      <w:pPr>
        <w:pStyle w:val="9"/>
        <w:numPr>
          <w:ilvl w:val="0"/>
          <w:numId w:val="7"/>
        </w:numPr>
        <w:ind w:left="0" w:leftChars="0" w:firstLine="0" w:firstLineChars="0"/>
        <w:rPr>
          <w:rFonts w:hint="default" w:eastAsia="宋体"/>
          <w:color w:val="auto"/>
          <w:highlight w:val="none"/>
          <w:lang w:val="en-US" w:eastAsia="zh-CN"/>
        </w:rPr>
      </w:pPr>
      <w:r>
        <w:rPr>
          <w:rFonts w:hint="eastAsia"/>
          <w:color w:val="auto"/>
          <w:highlight w:val="none"/>
          <w:lang w:val="en-US" w:eastAsia="zh-CN"/>
        </w:rPr>
        <w:t xml:space="preserve">R4-2304983 </w:t>
      </w:r>
      <w:r>
        <w:rPr>
          <w:rFonts w:hint="default"/>
          <w:color w:val="auto"/>
          <w:highlight w:val="none"/>
          <w:lang w:val="en-US" w:eastAsia="zh-CN"/>
        </w:rPr>
        <w:t>“</w:t>
      </w:r>
      <w:r>
        <w:rPr>
          <w:rFonts w:hint="eastAsia"/>
          <w:color w:val="auto"/>
          <w:highlight w:val="none"/>
          <w:lang w:val="en-US" w:eastAsia="zh-CN"/>
        </w:rPr>
        <w:t>Discussion on general aspects for air-to-ground network for NR</w:t>
      </w:r>
      <w:r>
        <w:rPr>
          <w:rFonts w:hint="default"/>
          <w:color w:val="auto"/>
          <w:highlight w:val="none"/>
          <w:lang w:val="en-US" w:eastAsia="zh-CN"/>
        </w:rPr>
        <w:t>”</w:t>
      </w:r>
      <w:r>
        <w:rPr>
          <w:rFonts w:hint="eastAsia"/>
          <w:color w:val="auto"/>
          <w:highlight w:val="none"/>
          <w:lang w:val="en-US" w:eastAsia="zh-CN"/>
        </w:rPr>
        <w:t>, ZTE</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AD97BC7"/>
    <w:multiLevelType w:val="singleLevel"/>
    <w:tmpl w:val="9AD97BC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2"/>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000747"/>
    <w:rsid w:val="05317828"/>
    <w:rsid w:val="05477E90"/>
    <w:rsid w:val="05BB5AB9"/>
    <w:rsid w:val="05C42923"/>
    <w:rsid w:val="06226EA6"/>
    <w:rsid w:val="06963BA6"/>
    <w:rsid w:val="07CB1C61"/>
    <w:rsid w:val="07CD3CDD"/>
    <w:rsid w:val="07F64CE8"/>
    <w:rsid w:val="083E6EA0"/>
    <w:rsid w:val="084E5514"/>
    <w:rsid w:val="0855671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DEE745F"/>
    <w:rsid w:val="0E104B55"/>
    <w:rsid w:val="0FAD3D1E"/>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AF55E3"/>
    <w:rsid w:val="18B077E2"/>
    <w:rsid w:val="18B1519A"/>
    <w:rsid w:val="18CD0507"/>
    <w:rsid w:val="18F36BA5"/>
    <w:rsid w:val="193B6DE3"/>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3504C5"/>
    <w:rsid w:val="208364FC"/>
    <w:rsid w:val="208953F9"/>
    <w:rsid w:val="21014C39"/>
    <w:rsid w:val="21244EB1"/>
    <w:rsid w:val="213964D8"/>
    <w:rsid w:val="21595D04"/>
    <w:rsid w:val="21F13629"/>
    <w:rsid w:val="223236B6"/>
    <w:rsid w:val="2255462C"/>
    <w:rsid w:val="22CD49DC"/>
    <w:rsid w:val="2305377E"/>
    <w:rsid w:val="23901822"/>
    <w:rsid w:val="24122135"/>
    <w:rsid w:val="24D4257E"/>
    <w:rsid w:val="2572202B"/>
    <w:rsid w:val="2605683C"/>
    <w:rsid w:val="26BB1419"/>
    <w:rsid w:val="27A2088A"/>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3F30C4"/>
    <w:rsid w:val="2EE77680"/>
    <w:rsid w:val="2F2F0FC8"/>
    <w:rsid w:val="2FA70460"/>
    <w:rsid w:val="30057FE3"/>
    <w:rsid w:val="301C6BB6"/>
    <w:rsid w:val="311A1818"/>
    <w:rsid w:val="31876C6F"/>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3DF2306A"/>
    <w:rsid w:val="3FEC6FC4"/>
    <w:rsid w:val="405F175E"/>
    <w:rsid w:val="40C765F3"/>
    <w:rsid w:val="42C9357F"/>
    <w:rsid w:val="42F869D2"/>
    <w:rsid w:val="43186073"/>
    <w:rsid w:val="43553536"/>
    <w:rsid w:val="44972678"/>
    <w:rsid w:val="451632B9"/>
    <w:rsid w:val="45906394"/>
    <w:rsid w:val="45F60A50"/>
    <w:rsid w:val="46142D0C"/>
    <w:rsid w:val="46263A53"/>
    <w:rsid w:val="46970A81"/>
    <w:rsid w:val="46B036BF"/>
    <w:rsid w:val="46CC320F"/>
    <w:rsid w:val="47282363"/>
    <w:rsid w:val="47810C98"/>
    <w:rsid w:val="47924F0A"/>
    <w:rsid w:val="48F407FD"/>
    <w:rsid w:val="49DC4EAC"/>
    <w:rsid w:val="49E55BC5"/>
    <w:rsid w:val="4A5D0BB5"/>
    <w:rsid w:val="4A784B9A"/>
    <w:rsid w:val="4B600E77"/>
    <w:rsid w:val="4B8B4475"/>
    <w:rsid w:val="4B8F684D"/>
    <w:rsid w:val="4BF02011"/>
    <w:rsid w:val="4C1C63D6"/>
    <w:rsid w:val="4C2D52ED"/>
    <w:rsid w:val="4C4F7C59"/>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0C7CD1"/>
    <w:rsid w:val="5C924E81"/>
    <w:rsid w:val="5E2864D0"/>
    <w:rsid w:val="5E494511"/>
    <w:rsid w:val="5EB44FC0"/>
    <w:rsid w:val="5FBA395F"/>
    <w:rsid w:val="60094E5C"/>
    <w:rsid w:val="606F38F4"/>
    <w:rsid w:val="60EC2CBA"/>
    <w:rsid w:val="61CC2D28"/>
    <w:rsid w:val="623E10C1"/>
    <w:rsid w:val="635902CD"/>
    <w:rsid w:val="63C03536"/>
    <w:rsid w:val="64706BBE"/>
    <w:rsid w:val="64F2095B"/>
    <w:rsid w:val="65A16A49"/>
    <w:rsid w:val="67A858DB"/>
    <w:rsid w:val="67FE4166"/>
    <w:rsid w:val="68C401C3"/>
    <w:rsid w:val="695848C3"/>
    <w:rsid w:val="69A833BD"/>
    <w:rsid w:val="69AF6305"/>
    <w:rsid w:val="69EF6835"/>
    <w:rsid w:val="6D566F0F"/>
    <w:rsid w:val="6D836F72"/>
    <w:rsid w:val="6D8D1B93"/>
    <w:rsid w:val="6DDE3DAF"/>
    <w:rsid w:val="6E3241BE"/>
    <w:rsid w:val="6EB97A9D"/>
    <w:rsid w:val="6EF10A90"/>
    <w:rsid w:val="6EFC7DED"/>
    <w:rsid w:val="6F2309BE"/>
    <w:rsid w:val="6F2A7FBF"/>
    <w:rsid w:val="6FFF1868"/>
    <w:rsid w:val="715F4C2D"/>
    <w:rsid w:val="722F78FB"/>
    <w:rsid w:val="723C2F8E"/>
    <w:rsid w:val="723D67C5"/>
    <w:rsid w:val="726A5F44"/>
    <w:rsid w:val="72BF60CA"/>
    <w:rsid w:val="72F41282"/>
    <w:rsid w:val="73020973"/>
    <w:rsid w:val="733D0D32"/>
    <w:rsid w:val="73B76769"/>
    <w:rsid w:val="73D411F1"/>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F5236"/>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2023-04-10T08:44:32Z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